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74ED" w14:textId="551BDE3F" w:rsidR="00244125" w:rsidRDefault="0024023D" w:rsidP="00466C2B">
      <w:pPr>
        <w:jc w:val="center"/>
        <w:rPr>
          <w:b/>
          <w:color w:val="365F91" w:themeColor="accent1" w:themeShade="BF"/>
          <w:sz w:val="24"/>
          <w:szCs w:val="24"/>
        </w:rPr>
      </w:pPr>
      <w:r w:rsidRPr="00CD4468">
        <w:rPr>
          <w:b/>
          <w:color w:val="365F91" w:themeColor="accent1" w:themeShade="BF"/>
          <w:sz w:val="24"/>
          <w:szCs w:val="24"/>
        </w:rPr>
        <w:t>Bij</w:t>
      </w:r>
      <w:r w:rsidR="0040246B" w:rsidRPr="00CD4468">
        <w:rPr>
          <w:b/>
          <w:color w:val="365F91" w:themeColor="accent1" w:themeShade="BF"/>
          <w:sz w:val="24"/>
          <w:szCs w:val="24"/>
        </w:rPr>
        <w:t xml:space="preserve">voegsel </w:t>
      </w:r>
      <w:r w:rsidRPr="00CD4468">
        <w:rPr>
          <w:b/>
          <w:color w:val="365F91" w:themeColor="accent1" w:themeShade="BF"/>
          <w:sz w:val="24"/>
          <w:szCs w:val="24"/>
        </w:rPr>
        <w:t xml:space="preserve">aan </w:t>
      </w:r>
      <w:r w:rsidR="008141FF" w:rsidRPr="00CD4468">
        <w:rPr>
          <w:b/>
          <w:color w:val="365F91" w:themeColor="accent1" w:themeShade="BF"/>
          <w:sz w:val="24"/>
          <w:szCs w:val="24"/>
        </w:rPr>
        <w:t>het</w:t>
      </w:r>
      <w:r w:rsidRPr="00CD4468">
        <w:rPr>
          <w:b/>
          <w:color w:val="365F91" w:themeColor="accent1" w:themeShade="BF"/>
          <w:sz w:val="24"/>
          <w:szCs w:val="24"/>
        </w:rPr>
        <w:t xml:space="preserve"> bestaande </w:t>
      </w:r>
      <w:r w:rsidR="00466C2B" w:rsidRPr="00CD4468">
        <w:rPr>
          <w:b/>
          <w:color w:val="365F91" w:themeColor="accent1" w:themeShade="BF"/>
          <w:sz w:val="24"/>
          <w:szCs w:val="24"/>
        </w:rPr>
        <w:t>a</w:t>
      </w:r>
      <w:r w:rsidR="008E509E" w:rsidRPr="00CD4468">
        <w:rPr>
          <w:b/>
          <w:color w:val="365F91" w:themeColor="accent1" w:themeShade="BF"/>
          <w:sz w:val="24"/>
          <w:szCs w:val="24"/>
        </w:rPr>
        <w:t>rbeidsreglement</w:t>
      </w:r>
      <w:r w:rsidRPr="00CD4468">
        <w:rPr>
          <w:b/>
          <w:color w:val="365F91" w:themeColor="accent1" w:themeShade="BF"/>
          <w:sz w:val="24"/>
          <w:szCs w:val="24"/>
        </w:rPr>
        <w:t xml:space="preserve"> </w:t>
      </w:r>
    </w:p>
    <w:p w14:paraId="292A05C8" w14:textId="77777777" w:rsidR="004F7021" w:rsidRPr="00CD4468" w:rsidRDefault="004F7021" w:rsidP="00466C2B">
      <w:pPr>
        <w:jc w:val="center"/>
        <w:rPr>
          <w:b/>
          <w:color w:val="365F91" w:themeColor="accent1" w:themeShade="BF"/>
          <w:sz w:val="24"/>
          <w:szCs w:val="24"/>
        </w:rPr>
      </w:pPr>
    </w:p>
    <w:p w14:paraId="6B6C7B44" w14:textId="1E7E38B0" w:rsidR="00DD7D10" w:rsidRDefault="00CD4468" w:rsidP="00CD4468">
      <w:pPr>
        <w:jc w:val="center"/>
        <w:rPr>
          <w:b/>
          <w:color w:val="365F91" w:themeColor="accent1" w:themeShade="BF"/>
          <w:sz w:val="32"/>
          <w:szCs w:val="32"/>
        </w:rPr>
      </w:pPr>
      <w:r>
        <w:rPr>
          <w:b/>
          <w:color w:val="365F91" w:themeColor="accent1" w:themeShade="BF"/>
          <w:sz w:val="32"/>
          <w:szCs w:val="32"/>
        </w:rPr>
        <w:t>Arbeidsongeschiktheid wegens ziekte of ongeval</w:t>
      </w:r>
    </w:p>
    <w:p w14:paraId="3BC1D15F" w14:textId="77777777" w:rsidR="00DD7D10" w:rsidRPr="00FC2859" w:rsidRDefault="00DD7D10" w:rsidP="00466C2B">
      <w:pPr>
        <w:jc w:val="center"/>
        <w:rPr>
          <w:b/>
          <w:color w:val="365F91" w:themeColor="accent1" w:themeShade="BF"/>
          <w:sz w:val="32"/>
          <w:szCs w:val="3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6279"/>
      </w:tblGrid>
      <w:tr w:rsidR="008141FF" w14:paraId="528D7DAF" w14:textId="77777777" w:rsidTr="00DD7D10">
        <w:tc>
          <w:tcPr>
            <w:tcW w:w="2793" w:type="dxa"/>
          </w:tcPr>
          <w:p w14:paraId="1589F21F" w14:textId="77777777" w:rsidR="008141FF" w:rsidRDefault="008141FF" w:rsidP="008141FF">
            <w:pPr>
              <w:spacing w:before="60" w:after="60"/>
            </w:pPr>
            <w:r>
              <w:t>De werkgever:</w:t>
            </w:r>
          </w:p>
        </w:tc>
        <w:tc>
          <w:tcPr>
            <w:tcW w:w="6279" w:type="dxa"/>
          </w:tcPr>
          <w:p w14:paraId="681A431C" w14:textId="77777777" w:rsidR="008141FF" w:rsidRDefault="008141FF" w:rsidP="008141FF">
            <w:pPr>
              <w:spacing w:before="60" w:after="60"/>
            </w:pPr>
          </w:p>
        </w:tc>
      </w:tr>
      <w:tr w:rsidR="00466C2B" w14:paraId="4A23D882" w14:textId="77777777" w:rsidTr="00DD7D10">
        <w:tc>
          <w:tcPr>
            <w:tcW w:w="2793" w:type="dxa"/>
          </w:tcPr>
          <w:p w14:paraId="191B8DB9" w14:textId="77777777" w:rsidR="00466C2B" w:rsidRDefault="00466C2B" w:rsidP="008141FF">
            <w:pPr>
              <w:spacing w:before="60" w:after="60"/>
            </w:pPr>
            <w:r>
              <w:t>Adres:</w:t>
            </w:r>
          </w:p>
        </w:tc>
        <w:tc>
          <w:tcPr>
            <w:tcW w:w="6279" w:type="dxa"/>
          </w:tcPr>
          <w:p w14:paraId="5118C24E" w14:textId="77777777" w:rsidR="00466C2B" w:rsidRDefault="00466C2B" w:rsidP="008141FF">
            <w:pPr>
              <w:spacing w:before="60" w:after="60"/>
            </w:pPr>
          </w:p>
          <w:p w14:paraId="3DE30AD8" w14:textId="77777777" w:rsidR="00466C2B" w:rsidRDefault="00466C2B" w:rsidP="008141FF">
            <w:pPr>
              <w:spacing w:before="60" w:after="60"/>
            </w:pPr>
          </w:p>
        </w:tc>
      </w:tr>
      <w:tr w:rsidR="00466C2B" w14:paraId="1F63B247" w14:textId="77777777" w:rsidTr="00DD7D10">
        <w:tc>
          <w:tcPr>
            <w:tcW w:w="2793" w:type="dxa"/>
          </w:tcPr>
          <w:p w14:paraId="5C35DD79" w14:textId="77777777" w:rsidR="00466C2B" w:rsidRDefault="00466C2B" w:rsidP="008141FF">
            <w:pPr>
              <w:spacing w:before="60" w:after="60"/>
            </w:pPr>
            <w:r>
              <w:t>Ondernemingsnummer:</w:t>
            </w:r>
          </w:p>
        </w:tc>
        <w:tc>
          <w:tcPr>
            <w:tcW w:w="6279" w:type="dxa"/>
          </w:tcPr>
          <w:p w14:paraId="197E5A87" w14:textId="77777777" w:rsidR="00466C2B" w:rsidRDefault="00466C2B" w:rsidP="008141FF">
            <w:pPr>
              <w:spacing w:before="60" w:after="60"/>
            </w:pPr>
          </w:p>
        </w:tc>
      </w:tr>
    </w:tbl>
    <w:p w14:paraId="4EBB2156" w14:textId="054733D5" w:rsidR="008141FF" w:rsidRDefault="008141FF" w:rsidP="00466C2B">
      <w:pPr>
        <w:spacing w:after="120" w:line="240" w:lineRule="auto"/>
      </w:pPr>
    </w:p>
    <w:p w14:paraId="668C1C30" w14:textId="77777777" w:rsidR="004F7021" w:rsidRDefault="004F7021" w:rsidP="00466C2B">
      <w:pPr>
        <w:spacing w:after="120" w:line="240" w:lineRule="auto"/>
        <w:rPr>
          <w:b/>
          <w:bCs/>
          <w:u w:val="single"/>
        </w:rPr>
      </w:pPr>
    </w:p>
    <w:p w14:paraId="179C38BD" w14:textId="4C2C9CE7" w:rsidR="004F7021" w:rsidRPr="004F7021" w:rsidRDefault="004F7021" w:rsidP="00466C2B">
      <w:pPr>
        <w:spacing w:after="120" w:line="240" w:lineRule="auto"/>
        <w:rPr>
          <w:b/>
          <w:bCs/>
          <w:u w:val="single"/>
        </w:rPr>
      </w:pPr>
      <w:r w:rsidRPr="004F7021">
        <w:rPr>
          <w:b/>
          <w:bCs/>
          <w:u w:val="single"/>
        </w:rPr>
        <w:t>Art. 1 – rechtvaardiging van de arbeidsongeschiktheid</w:t>
      </w:r>
    </w:p>
    <w:p w14:paraId="536EBC60" w14:textId="77777777" w:rsidR="004F7021" w:rsidRDefault="004F7021" w:rsidP="004F7021">
      <w:pPr>
        <w:tabs>
          <w:tab w:val="left" w:pos="567"/>
        </w:tabs>
        <w:spacing w:after="120" w:line="240" w:lineRule="auto"/>
        <w:jc w:val="both"/>
      </w:pPr>
    </w:p>
    <w:p w14:paraId="0E14B6F9" w14:textId="77F30CC6" w:rsidR="004F7021" w:rsidRDefault="004F7021" w:rsidP="004F7021">
      <w:pPr>
        <w:tabs>
          <w:tab w:val="left" w:pos="567"/>
        </w:tabs>
        <w:spacing w:after="120" w:line="240" w:lineRule="auto"/>
        <w:jc w:val="both"/>
      </w:pPr>
      <w:r>
        <w:t xml:space="preserve">In geval van arbeidsongeschiktheid ten gevolge van ziekte of ongeval verwittigt de werknemer of een aanverwant persoon de </w:t>
      </w:r>
      <w:r>
        <w:t xml:space="preserve">werkgever </w:t>
      </w:r>
      <w:r>
        <w:rPr>
          <w:u w:val="single"/>
        </w:rPr>
        <w:t>onmiddellijk</w:t>
      </w:r>
      <w:r>
        <w:t xml:space="preserve">, zo mogelijk </w:t>
      </w:r>
      <w:r w:rsidRPr="0044098F">
        <w:t>telefonisch</w:t>
      </w:r>
      <w:r>
        <w:t xml:space="preserve">, en uiterlijk voor het normale aanvangsuur. Zo niet, verliest de werknemer het recht op gewaarborgd inkomen. </w:t>
      </w:r>
    </w:p>
    <w:p w14:paraId="423DF673" w14:textId="77777777" w:rsidR="004F7021" w:rsidRDefault="004F7021" w:rsidP="004F7021">
      <w:pPr>
        <w:tabs>
          <w:tab w:val="left" w:pos="567"/>
        </w:tabs>
        <w:spacing w:after="120" w:line="240" w:lineRule="auto"/>
        <w:jc w:val="both"/>
      </w:pPr>
    </w:p>
    <w:p w14:paraId="4BBC34AA" w14:textId="77777777" w:rsidR="004F7021" w:rsidRDefault="004F7021" w:rsidP="004F7021">
      <w:pPr>
        <w:tabs>
          <w:tab w:val="left" w:pos="567"/>
        </w:tabs>
        <w:spacing w:after="120" w:line="240" w:lineRule="auto"/>
        <w:ind w:left="567" w:hanging="425"/>
        <w:jc w:val="both"/>
      </w:pPr>
      <w:r>
        <w:rPr>
          <w:b/>
        </w:rPr>
        <w:t>§1</w:t>
      </w:r>
      <w:r>
        <w:rPr>
          <w:b/>
        </w:rPr>
        <w:tab/>
      </w:r>
      <w:r>
        <w:t>H</w:t>
      </w:r>
      <w:r>
        <w:tab/>
        <w:t xml:space="preserve">et medisch attest (met datum en handtekening van de geraadpleegde arts) moet binnen de 48 uren na het begin van de arbeidsongeschiktheid door de werknemer overgemaakt worden aan de werkgever. </w:t>
      </w:r>
    </w:p>
    <w:p w14:paraId="0E3D3F2B" w14:textId="77777777" w:rsidR="004F7021" w:rsidRDefault="004F7021" w:rsidP="004F7021">
      <w:pPr>
        <w:spacing w:after="120" w:line="180" w:lineRule="atLeast"/>
        <w:ind w:left="567"/>
        <w:jc w:val="both"/>
      </w:pPr>
      <w:r>
        <w:t xml:space="preserve">Indien het medisch attest wordt verstuurd, wordt de datum van de poststempel in aanmerking genomen voor de hierboven vermelde grens van 48 uren. </w:t>
      </w:r>
    </w:p>
    <w:p w14:paraId="5EAD0D31" w14:textId="77777777" w:rsidR="004F7021" w:rsidRDefault="004F7021" w:rsidP="004F7021">
      <w:pPr>
        <w:spacing w:after="120" w:line="180" w:lineRule="atLeast"/>
        <w:ind w:left="567"/>
        <w:jc w:val="both"/>
      </w:pPr>
      <w:r>
        <w:t xml:space="preserve">Wordt het attest niet tijdig overgemaakt, dan heeft de werknemer geen recht op loon voor de dagen van ongeschiktheid die de dag van afgifte of verzending van het getuigschrift voorafgaan. </w:t>
      </w:r>
    </w:p>
    <w:p w14:paraId="2FDFEFF6" w14:textId="61561D9F" w:rsidR="004F7021" w:rsidRDefault="004F7021" w:rsidP="004F7021">
      <w:pPr>
        <w:spacing w:after="120" w:line="180" w:lineRule="atLeast"/>
        <w:ind w:left="567"/>
        <w:jc w:val="both"/>
      </w:pPr>
      <w:r>
        <w:t xml:space="preserve">Er is steeds een medisch attest nodig </w:t>
      </w:r>
      <w:r w:rsidRPr="004F7021">
        <w:rPr>
          <w:u w:val="single"/>
        </w:rPr>
        <w:t>vanaf 1 dag ziekte</w:t>
      </w:r>
      <w:r>
        <w:t>, ongeacht de duur van de arbeidsongeschiktheid.</w:t>
      </w:r>
    </w:p>
    <w:p w14:paraId="3D057E11" w14:textId="552EB049" w:rsidR="004F7021" w:rsidRDefault="004F7021" w:rsidP="004F7021">
      <w:pPr>
        <w:spacing w:after="120" w:line="180" w:lineRule="atLeast"/>
        <w:ind w:left="567"/>
        <w:jc w:val="both"/>
      </w:pPr>
      <w:r>
        <w:t>De werknemer die in dienst is van de onderneming met minstens 50 werknemers op 1 januari van het kalenderjaar waarin de arbeidsongeschiktheid zich voordoet, is er 3 maal per kalenderjaar niet toe gehouden een geneeskundig getuigschrift voor te leggen voor de eerste dag van arbeidsongeschiktheid. In voorkomend geval deelt hij de werkgever onmiddellijk mee op welk adres hij zal verblijven</w:t>
      </w:r>
    </w:p>
    <w:p w14:paraId="16C239E1" w14:textId="799F76D2" w:rsidR="004F7021" w:rsidRDefault="004F7021" w:rsidP="004F7021">
      <w:pPr>
        <w:tabs>
          <w:tab w:val="left" w:pos="567"/>
        </w:tabs>
        <w:spacing w:after="120" w:line="240" w:lineRule="auto"/>
        <w:ind w:left="567" w:hanging="425"/>
        <w:jc w:val="both"/>
      </w:pPr>
      <w:r>
        <w:rPr>
          <w:b/>
        </w:rPr>
        <w:t>§2</w:t>
      </w:r>
      <w:r>
        <w:rPr>
          <w:b/>
        </w:rPr>
        <w:tab/>
      </w:r>
      <w:r w:rsidRPr="0025650A">
        <w:t>Wanneer de arbeidsongeschiktheid langer duurt dan aanvank</w:t>
      </w:r>
      <w:r>
        <w:t xml:space="preserve">elijk werd gedacht, dan moet de </w:t>
      </w:r>
      <w:r w:rsidRPr="0025650A">
        <w:t xml:space="preserve">werknemer de werkgever onmiddellijk in kennis stellen zoals bij de aanvang van de </w:t>
      </w:r>
      <w:r>
        <w:t>ongeschiktheid. T</w:t>
      </w:r>
      <w:r w:rsidRPr="0025650A">
        <w:t>evens zal hij binnen de 48 uren een nieuw medisch attest moeten overhandigen</w:t>
      </w:r>
      <w:r>
        <w:t xml:space="preserve">. </w:t>
      </w:r>
    </w:p>
    <w:p w14:paraId="759E5750" w14:textId="5688902C" w:rsidR="00A25650" w:rsidRDefault="00A25650" w:rsidP="004F7021">
      <w:pPr>
        <w:tabs>
          <w:tab w:val="left" w:pos="567"/>
        </w:tabs>
        <w:spacing w:after="120" w:line="240" w:lineRule="auto"/>
        <w:ind w:left="567" w:hanging="425"/>
        <w:jc w:val="both"/>
      </w:pPr>
    </w:p>
    <w:p w14:paraId="500FC86B" w14:textId="088881F2" w:rsidR="00A25650" w:rsidRDefault="00A25650" w:rsidP="004F7021">
      <w:pPr>
        <w:tabs>
          <w:tab w:val="left" w:pos="567"/>
        </w:tabs>
        <w:spacing w:after="120" w:line="240" w:lineRule="auto"/>
        <w:ind w:left="567" w:hanging="425"/>
        <w:jc w:val="both"/>
      </w:pPr>
    </w:p>
    <w:p w14:paraId="77EDE8EB" w14:textId="7D0D6E90" w:rsidR="00A25650" w:rsidRDefault="00A25650" w:rsidP="004F7021">
      <w:pPr>
        <w:tabs>
          <w:tab w:val="left" w:pos="567"/>
        </w:tabs>
        <w:spacing w:after="120" w:line="240" w:lineRule="auto"/>
        <w:ind w:left="567" w:hanging="425"/>
        <w:jc w:val="both"/>
      </w:pPr>
    </w:p>
    <w:p w14:paraId="0757796F" w14:textId="77777777" w:rsidR="00A25650" w:rsidRDefault="00A25650" w:rsidP="004F7021">
      <w:pPr>
        <w:tabs>
          <w:tab w:val="left" w:pos="567"/>
        </w:tabs>
        <w:spacing w:after="120" w:line="240" w:lineRule="auto"/>
        <w:ind w:left="567" w:hanging="425"/>
        <w:jc w:val="both"/>
      </w:pPr>
    </w:p>
    <w:p w14:paraId="34332F33" w14:textId="77777777" w:rsidR="004F7021" w:rsidRPr="00F9062D" w:rsidRDefault="004F7021" w:rsidP="004F7021">
      <w:pPr>
        <w:tabs>
          <w:tab w:val="left" w:pos="567"/>
        </w:tabs>
        <w:spacing w:after="120" w:line="240" w:lineRule="auto"/>
        <w:ind w:left="567" w:hanging="425"/>
        <w:jc w:val="both"/>
      </w:pPr>
      <w:r w:rsidRPr="00F9062D">
        <w:rPr>
          <w:b/>
        </w:rPr>
        <w:lastRenderedPageBreak/>
        <w:t>§</w:t>
      </w:r>
      <w:r>
        <w:rPr>
          <w:b/>
        </w:rPr>
        <w:t>3</w:t>
      </w:r>
      <w:r>
        <w:rPr>
          <w:b/>
        </w:rPr>
        <w:tab/>
      </w:r>
      <w:r>
        <w:t>In geval</w:t>
      </w:r>
      <w:r w:rsidRPr="00F9062D">
        <w:t xml:space="preserve"> van </w:t>
      </w:r>
      <w:r>
        <w:t xml:space="preserve">een </w:t>
      </w:r>
      <w:r w:rsidRPr="00F9062D">
        <w:t>nieuwe afwezigheid binnen de eerste 14 dagen vol</w:t>
      </w:r>
      <w:r>
        <w:t>gend op het einde van de vorige a</w:t>
      </w:r>
      <w:r w:rsidRPr="00F9062D">
        <w:t xml:space="preserve">rbeidsongeschiktheid wordt de werknemer verzocht op het medisch attest te laten vermelden of het gaat om een herval van de vorige ongeschiktheid of een andere oorzaak. Komt deze vermelding niet </w:t>
      </w:r>
      <w:r>
        <w:t>v</w:t>
      </w:r>
      <w:r w:rsidRPr="00F9062D">
        <w:t>oor zal er steeds vanuit gegaan</w:t>
      </w:r>
      <w:r>
        <w:t xml:space="preserve"> worden dat het om een herval gaat. </w:t>
      </w:r>
    </w:p>
    <w:p w14:paraId="2AA695CA" w14:textId="77777777" w:rsidR="004F7021" w:rsidRPr="005A005B" w:rsidRDefault="004F7021" w:rsidP="004F7021">
      <w:pPr>
        <w:tabs>
          <w:tab w:val="left" w:pos="567"/>
        </w:tabs>
        <w:spacing w:after="120" w:line="240" w:lineRule="auto"/>
        <w:ind w:left="567" w:hanging="425"/>
        <w:jc w:val="both"/>
        <w:rPr>
          <w:b/>
        </w:rPr>
      </w:pPr>
    </w:p>
    <w:p w14:paraId="53CD2D30" w14:textId="77777777" w:rsidR="004F7021" w:rsidRPr="005A005B" w:rsidRDefault="004F7021" w:rsidP="004F7021">
      <w:pPr>
        <w:pBdr>
          <w:top w:val="single" w:sz="4" w:space="1" w:color="auto"/>
          <w:left w:val="single" w:sz="4" w:space="4" w:color="auto"/>
          <w:bottom w:val="single" w:sz="4" w:space="1" w:color="auto"/>
          <w:right w:val="single" w:sz="4" w:space="4" w:color="auto"/>
        </w:pBdr>
        <w:spacing w:after="120" w:line="180" w:lineRule="atLeast"/>
        <w:jc w:val="both"/>
        <w:rPr>
          <w:b/>
        </w:rPr>
      </w:pPr>
      <w:r w:rsidRPr="005A005B">
        <w:rPr>
          <w:b/>
        </w:rPr>
        <w:t>ELKE AFWEZIGHEID ZONDER VERWITTIGING EN NIET GEDEKT DOOR EEN MEDISCH ATTEST WORDT ALS ONGERECHTVAARDIGDE AFWEZIGHEID BESCHOUWD.</w:t>
      </w:r>
    </w:p>
    <w:p w14:paraId="3CFAB932" w14:textId="77777777" w:rsidR="00A25650" w:rsidRDefault="00A25650" w:rsidP="00A25650"/>
    <w:p w14:paraId="2C76AD69" w14:textId="72D05285" w:rsidR="00466C2B" w:rsidRDefault="00466C2B" w:rsidP="00A25650">
      <w:pPr>
        <w:jc w:val="center"/>
      </w:pPr>
      <w:r>
        <w:t>*     *     *</w:t>
      </w:r>
    </w:p>
    <w:p w14:paraId="709C5350" w14:textId="77777777" w:rsidR="00A25650" w:rsidRDefault="00A25650" w:rsidP="00466C2B">
      <w:pPr>
        <w:tabs>
          <w:tab w:val="right" w:leader="dot" w:pos="4962"/>
          <w:tab w:val="left" w:pos="5103"/>
          <w:tab w:val="right" w:leader="dot" w:pos="7797"/>
        </w:tabs>
        <w:spacing w:after="240" w:line="240" w:lineRule="auto"/>
        <w:jc w:val="both"/>
      </w:pPr>
    </w:p>
    <w:p w14:paraId="6614009C" w14:textId="77777777" w:rsidR="00A25650" w:rsidRDefault="00A25650" w:rsidP="00466C2B">
      <w:pPr>
        <w:tabs>
          <w:tab w:val="right" w:leader="dot" w:pos="4962"/>
          <w:tab w:val="left" w:pos="5103"/>
          <w:tab w:val="right" w:leader="dot" w:pos="7797"/>
        </w:tabs>
        <w:spacing w:after="240" w:line="240" w:lineRule="auto"/>
        <w:jc w:val="both"/>
      </w:pPr>
    </w:p>
    <w:p w14:paraId="5FE752CF" w14:textId="38350BD7" w:rsidR="00466C2B" w:rsidRDefault="00466C2B" w:rsidP="00466C2B">
      <w:pPr>
        <w:tabs>
          <w:tab w:val="right" w:leader="dot" w:pos="4962"/>
          <w:tab w:val="left" w:pos="5103"/>
          <w:tab w:val="right" w:leader="dot" w:pos="7797"/>
        </w:tabs>
        <w:spacing w:after="240" w:line="240" w:lineRule="auto"/>
        <w:jc w:val="both"/>
      </w:pPr>
      <w:r>
        <w:t xml:space="preserve">Arbeidsreglement opgesteld te </w:t>
      </w:r>
      <w:r w:rsidR="00DD7D10">
        <w:t xml:space="preserve">… </w:t>
      </w:r>
      <w:r>
        <w:t xml:space="preserve">op </w:t>
      </w:r>
      <w:r w:rsidR="00DD7D10">
        <w:t>….</w:t>
      </w:r>
      <w:r>
        <w:t>.</w:t>
      </w:r>
    </w:p>
    <w:p w14:paraId="4860BBD8" w14:textId="77777777" w:rsidR="0040246B" w:rsidRDefault="0040246B" w:rsidP="0040246B"/>
    <w:p w14:paraId="42B058B8" w14:textId="77777777" w:rsidR="00A25650" w:rsidRDefault="00A25650" w:rsidP="0040246B"/>
    <w:p w14:paraId="421335D8" w14:textId="5BDEDC0D" w:rsidR="00466C2B" w:rsidRDefault="00466C2B" w:rsidP="0040246B">
      <w:r>
        <w:t>Handtekening werkgever:</w:t>
      </w:r>
    </w:p>
    <w:sectPr w:rsidR="00466C2B" w:rsidSect="009B5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4352"/>
    <w:multiLevelType w:val="hybridMultilevel"/>
    <w:tmpl w:val="8DC8DE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BC110F1"/>
    <w:multiLevelType w:val="hybridMultilevel"/>
    <w:tmpl w:val="ACE415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16E04BC"/>
    <w:multiLevelType w:val="hybridMultilevel"/>
    <w:tmpl w:val="8DC8DE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8F2391D"/>
    <w:multiLevelType w:val="hybridMultilevel"/>
    <w:tmpl w:val="EB9C78D2"/>
    <w:lvl w:ilvl="0" w:tplc="A3B4A058">
      <w:start w:val="13"/>
      <w:numFmt w:val="decimal"/>
      <w:lvlText w:val="%1"/>
      <w:lvlJc w:val="left"/>
      <w:pPr>
        <w:ind w:left="679" w:hanging="360"/>
      </w:pPr>
      <w:rPr>
        <w:rFonts w:hint="default"/>
      </w:rPr>
    </w:lvl>
    <w:lvl w:ilvl="1" w:tplc="08130019" w:tentative="1">
      <w:start w:val="1"/>
      <w:numFmt w:val="lowerLetter"/>
      <w:lvlText w:val="%2."/>
      <w:lvlJc w:val="left"/>
      <w:pPr>
        <w:ind w:left="1399" w:hanging="360"/>
      </w:pPr>
    </w:lvl>
    <w:lvl w:ilvl="2" w:tplc="0813001B" w:tentative="1">
      <w:start w:val="1"/>
      <w:numFmt w:val="lowerRoman"/>
      <w:lvlText w:val="%3."/>
      <w:lvlJc w:val="right"/>
      <w:pPr>
        <w:ind w:left="2119" w:hanging="180"/>
      </w:pPr>
    </w:lvl>
    <w:lvl w:ilvl="3" w:tplc="0813000F" w:tentative="1">
      <w:start w:val="1"/>
      <w:numFmt w:val="decimal"/>
      <w:lvlText w:val="%4."/>
      <w:lvlJc w:val="left"/>
      <w:pPr>
        <w:ind w:left="2839" w:hanging="360"/>
      </w:pPr>
    </w:lvl>
    <w:lvl w:ilvl="4" w:tplc="08130019" w:tentative="1">
      <w:start w:val="1"/>
      <w:numFmt w:val="lowerLetter"/>
      <w:lvlText w:val="%5."/>
      <w:lvlJc w:val="left"/>
      <w:pPr>
        <w:ind w:left="3559" w:hanging="360"/>
      </w:pPr>
    </w:lvl>
    <w:lvl w:ilvl="5" w:tplc="0813001B" w:tentative="1">
      <w:start w:val="1"/>
      <w:numFmt w:val="lowerRoman"/>
      <w:lvlText w:val="%6."/>
      <w:lvlJc w:val="right"/>
      <w:pPr>
        <w:ind w:left="4279" w:hanging="180"/>
      </w:pPr>
    </w:lvl>
    <w:lvl w:ilvl="6" w:tplc="0813000F" w:tentative="1">
      <w:start w:val="1"/>
      <w:numFmt w:val="decimal"/>
      <w:lvlText w:val="%7."/>
      <w:lvlJc w:val="left"/>
      <w:pPr>
        <w:ind w:left="4999" w:hanging="360"/>
      </w:pPr>
    </w:lvl>
    <w:lvl w:ilvl="7" w:tplc="08130019" w:tentative="1">
      <w:start w:val="1"/>
      <w:numFmt w:val="lowerLetter"/>
      <w:lvlText w:val="%8."/>
      <w:lvlJc w:val="left"/>
      <w:pPr>
        <w:ind w:left="5719" w:hanging="360"/>
      </w:pPr>
    </w:lvl>
    <w:lvl w:ilvl="8" w:tplc="0813001B" w:tentative="1">
      <w:start w:val="1"/>
      <w:numFmt w:val="lowerRoman"/>
      <w:lvlText w:val="%9."/>
      <w:lvlJc w:val="right"/>
      <w:pPr>
        <w:ind w:left="6439" w:hanging="180"/>
      </w:pPr>
    </w:lvl>
  </w:abstractNum>
  <w:num w:numId="1" w16cid:durableId="1694719596">
    <w:abstractNumId w:val="1"/>
  </w:num>
  <w:num w:numId="2" w16cid:durableId="334847967">
    <w:abstractNumId w:val="0"/>
  </w:num>
  <w:num w:numId="3" w16cid:durableId="869414777">
    <w:abstractNumId w:val="2"/>
  </w:num>
  <w:num w:numId="4" w16cid:durableId="2106262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6B"/>
    <w:rsid w:val="00001204"/>
    <w:rsid w:val="0000445C"/>
    <w:rsid w:val="00007A6E"/>
    <w:rsid w:val="000110DD"/>
    <w:rsid w:val="00013F72"/>
    <w:rsid w:val="000D7B08"/>
    <w:rsid w:val="000F148D"/>
    <w:rsid w:val="0010358A"/>
    <w:rsid w:val="001123B4"/>
    <w:rsid w:val="00143287"/>
    <w:rsid w:val="00176789"/>
    <w:rsid w:val="001872A2"/>
    <w:rsid w:val="00197E1A"/>
    <w:rsid w:val="001A1F17"/>
    <w:rsid w:val="001A5C3D"/>
    <w:rsid w:val="001A6DBD"/>
    <w:rsid w:val="001B14F9"/>
    <w:rsid w:val="001C63F4"/>
    <w:rsid w:val="001D0868"/>
    <w:rsid w:val="001F6559"/>
    <w:rsid w:val="002035CE"/>
    <w:rsid w:val="0024023D"/>
    <w:rsid w:val="00242F32"/>
    <w:rsid w:val="00244125"/>
    <w:rsid w:val="00251D76"/>
    <w:rsid w:val="0025491C"/>
    <w:rsid w:val="00264178"/>
    <w:rsid w:val="0026471B"/>
    <w:rsid w:val="002A645B"/>
    <w:rsid w:val="002B0A59"/>
    <w:rsid w:val="002B23D7"/>
    <w:rsid w:val="002E3264"/>
    <w:rsid w:val="002F702E"/>
    <w:rsid w:val="002F70F4"/>
    <w:rsid w:val="00301B3C"/>
    <w:rsid w:val="00315C7A"/>
    <w:rsid w:val="003179FD"/>
    <w:rsid w:val="00317B75"/>
    <w:rsid w:val="003277E7"/>
    <w:rsid w:val="00335EEC"/>
    <w:rsid w:val="003520AB"/>
    <w:rsid w:val="00356A7C"/>
    <w:rsid w:val="003678E7"/>
    <w:rsid w:val="00374DA8"/>
    <w:rsid w:val="003B1E78"/>
    <w:rsid w:val="003F5A77"/>
    <w:rsid w:val="003F61E5"/>
    <w:rsid w:val="0040246B"/>
    <w:rsid w:val="00412D24"/>
    <w:rsid w:val="00416E66"/>
    <w:rsid w:val="00431B7A"/>
    <w:rsid w:val="004412CB"/>
    <w:rsid w:val="00450F22"/>
    <w:rsid w:val="00451970"/>
    <w:rsid w:val="00455DC3"/>
    <w:rsid w:val="0045611B"/>
    <w:rsid w:val="00466C2B"/>
    <w:rsid w:val="004774ED"/>
    <w:rsid w:val="004C57FA"/>
    <w:rsid w:val="004F19BE"/>
    <w:rsid w:val="004F7021"/>
    <w:rsid w:val="005026EB"/>
    <w:rsid w:val="0054201B"/>
    <w:rsid w:val="00572185"/>
    <w:rsid w:val="005C4740"/>
    <w:rsid w:val="005D3373"/>
    <w:rsid w:val="005D469F"/>
    <w:rsid w:val="005E0976"/>
    <w:rsid w:val="005F36AC"/>
    <w:rsid w:val="00604A6A"/>
    <w:rsid w:val="0062223A"/>
    <w:rsid w:val="0063564B"/>
    <w:rsid w:val="00682F3E"/>
    <w:rsid w:val="006B078A"/>
    <w:rsid w:val="006F375A"/>
    <w:rsid w:val="006F477B"/>
    <w:rsid w:val="006F7783"/>
    <w:rsid w:val="00712E6F"/>
    <w:rsid w:val="00716FD3"/>
    <w:rsid w:val="0073661C"/>
    <w:rsid w:val="00760C41"/>
    <w:rsid w:val="00775948"/>
    <w:rsid w:val="007A40FA"/>
    <w:rsid w:val="007A4F07"/>
    <w:rsid w:val="007D7D91"/>
    <w:rsid w:val="007E264A"/>
    <w:rsid w:val="008030C1"/>
    <w:rsid w:val="008141FF"/>
    <w:rsid w:val="00825804"/>
    <w:rsid w:val="00844461"/>
    <w:rsid w:val="00862402"/>
    <w:rsid w:val="008828B8"/>
    <w:rsid w:val="00887640"/>
    <w:rsid w:val="008C0F2B"/>
    <w:rsid w:val="008E444D"/>
    <w:rsid w:val="008E509E"/>
    <w:rsid w:val="008F0A87"/>
    <w:rsid w:val="008F0F30"/>
    <w:rsid w:val="008F78E1"/>
    <w:rsid w:val="0094388C"/>
    <w:rsid w:val="00947FA0"/>
    <w:rsid w:val="00951DCA"/>
    <w:rsid w:val="00957575"/>
    <w:rsid w:val="009708E5"/>
    <w:rsid w:val="00984011"/>
    <w:rsid w:val="0099108B"/>
    <w:rsid w:val="009A1372"/>
    <w:rsid w:val="009B5569"/>
    <w:rsid w:val="009C06BA"/>
    <w:rsid w:val="009C306F"/>
    <w:rsid w:val="009C6D74"/>
    <w:rsid w:val="009D734C"/>
    <w:rsid w:val="009E6AB4"/>
    <w:rsid w:val="00A03E28"/>
    <w:rsid w:val="00A15C30"/>
    <w:rsid w:val="00A1737F"/>
    <w:rsid w:val="00A25650"/>
    <w:rsid w:val="00A3126C"/>
    <w:rsid w:val="00A50E61"/>
    <w:rsid w:val="00A6005F"/>
    <w:rsid w:val="00AA2CFB"/>
    <w:rsid w:val="00AD1083"/>
    <w:rsid w:val="00B1243A"/>
    <w:rsid w:val="00B1412E"/>
    <w:rsid w:val="00B83748"/>
    <w:rsid w:val="00B90770"/>
    <w:rsid w:val="00BB54AC"/>
    <w:rsid w:val="00BF040E"/>
    <w:rsid w:val="00BF1614"/>
    <w:rsid w:val="00C065F9"/>
    <w:rsid w:val="00C12EC7"/>
    <w:rsid w:val="00C21240"/>
    <w:rsid w:val="00C41D0E"/>
    <w:rsid w:val="00C61C26"/>
    <w:rsid w:val="00C727CD"/>
    <w:rsid w:val="00CB2BFF"/>
    <w:rsid w:val="00CB3C24"/>
    <w:rsid w:val="00CC634D"/>
    <w:rsid w:val="00CC7E45"/>
    <w:rsid w:val="00CD084E"/>
    <w:rsid w:val="00CD39BC"/>
    <w:rsid w:val="00CD4468"/>
    <w:rsid w:val="00D22907"/>
    <w:rsid w:val="00D26A30"/>
    <w:rsid w:val="00D334C4"/>
    <w:rsid w:val="00D357BE"/>
    <w:rsid w:val="00D43ABF"/>
    <w:rsid w:val="00D71E72"/>
    <w:rsid w:val="00DB13AB"/>
    <w:rsid w:val="00DD079D"/>
    <w:rsid w:val="00DD7D10"/>
    <w:rsid w:val="00DE7008"/>
    <w:rsid w:val="00DE706D"/>
    <w:rsid w:val="00DF2D9F"/>
    <w:rsid w:val="00DF4549"/>
    <w:rsid w:val="00E334D7"/>
    <w:rsid w:val="00E755EC"/>
    <w:rsid w:val="00EB2489"/>
    <w:rsid w:val="00EB7B66"/>
    <w:rsid w:val="00EC4E6C"/>
    <w:rsid w:val="00ED52B9"/>
    <w:rsid w:val="00EE1AF7"/>
    <w:rsid w:val="00F211E6"/>
    <w:rsid w:val="00F31835"/>
    <w:rsid w:val="00F45228"/>
    <w:rsid w:val="00F61D8F"/>
    <w:rsid w:val="00F85771"/>
    <w:rsid w:val="00F86A9C"/>
    <w:rsid w:val="00F875B3"/>
    <w:rsid w:val="00F927DB"/>
    <w:rsid w:val="00FA6664"/>
    <w:rsid w:val="00FB5030"/>
    <w:rsid w:val="00FB6778"/>
    <w:rsid w:val="00FC2859"/>
    <w:rsid w:val="00FE6A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FBB1"/>
  <w15:docId w15:val="{FFE92507-34AA-4B91-91E6-D4B55BE9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5569"/>
  </w:style>
  <w:style w:type="paragraph" w:styleId="Kop2">
    <w:name w:val="heading 2"/>
    <w:basedOn w:val="Standaard"/>
    <w:next w:val="Standaard"/>
    <w:link w:val="Kop2Char"/>
    <w:uiPriority w:val="9"/>
    <w:unhideWhenUsed/>
    <w:qFormat/>
    <w:rsid w:val="00466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66C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5030"/>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1F17"/>
    <w:pPr>
      <w:ind w:left="720"/>
      <w:contextualSpacing/>
    </w:pPr>
  </w:style>
  <w:style w:type="table" w:customStyle="1" w:styleId="Tabelraster1">
    <w:name w:val="Tabelraster1"/>
    <w:basedOn w:val="Standaardtabel"/>
    <w:next w:val="Tabelraster"/>
    <w:uiPriority w:val="59"/>
    <w:rsid w:val="001A1F17"/>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8577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8577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8577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8577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66C2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66C2B"/>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40246B"/>
    <w:pPr>
      <w:widowControl w:val="0"/>
      <w:spacing w:after="0" w:line="240" w:lineRule="auto"/>
    </w:pPr>
    <w:rPr>
      <w:rFonts w:eastAsiaTheme="minorEastAsia"/>
      <w:lang w:val="en-US" w:eastAsia="nl-BE"/>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0246B"/>
    <w:pPr>
      <w:widowControl w:val="0"/>
      <w:spacing w:after="0" w:line="240" w:lineRule="auto"/>
    </w:pPr>
    <w:rPr>
      <w:rFonts w:eastAsiaTheme="minorEastAsia"/>
      <w:lang w:val="en-US" w:eastAsia="nl-BE"/>
    </w:rPr>
  </w:style>
  <w:style w:type="character" w:styleId="Nadruk">
    <w:name w:val="Emphasis"/>
    <w:basedOn w:val="Standaardalinea-lettertype"/>
    <w:uiPriority w:val="20"/>
    <w:qFormat/>
    <w:rsid w:val="004F7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95079">
      <w:bodyDiv w:val="1"/>
      <w:marLeft w:val="0"/>
      <w:marRight w:val="0"/>
      <w:marTop w:val="0"/>
      <w:marBottom w:val="0"/>
      <w:divBdr>
        <w:top w:val="none" w:sz="0" w:space="0" w:color="auto"/>
        <w:left w:val="none" w:sz="0" w:space="0" w:color="auto"/>
        <w:bottom w:val="none" w:sz="0" w:space="0" w:color="auto"/>
        <w:right w:val="none" w:sz="0" w:space="0" w:color="auto"/>
      </w:divBdr>
    </w:div>
    <w:div w:id="18247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Bizplus\Dropbox\BizPlus%20-%20Patrick%20Chalmet\3%20Documenten%20en%20Leidraden\ARBEIDSREGLEMENT\Bijlagen%20AR\Bijlage_bijkomende%20uurroosters%20aan%20het%20bestaande%20arbeidsreg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Bijlage_bijkomende uurroosters aan het bestaande arbeidsreglement</Template>
  <TotalTime>16</TotalTime>
  <Pages>2</Pages>
  <Words>352</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BizPlus - Danielle</dc:creator>
  <cp:lastModifiedBy>Danielle Bizplus</cp:lastModifiedBy>
  <cp:revision>5</cp:revision>
  <cp:lastPrinted>2014-08-07T07:41:00Z</cp:lastPrinted>
  <dcterms:created xsi:type="dcterms:W3CDTF">2023-01-10T08:29:00Z</dcterms:created>
  <dcterms:modified xsi:type="dcterms:W3CDTF">2023-01-10T08:48:00Z</dcterms:modified>
</cp:coreProperties>
</file>